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/>
      </w:pPr>
      <w:r>
        <w:rPr>
          <w:rFonts w:cs="Times New Roman" w:ascii="Times New Roman" w:hAnsi="Times New Roman"/>
        </w:rPr>
        <w:t>Éléments</w:t>
      </w:r>
      <w:r>
        <w:rPr>
          <w:rFonts w:cs="Times New Roman" w:ascii="Times New Roman" w:hAnsi="Times New Roman"/>
        </w:rPr>
        <w:t xml:space="preserve"> du programme travaillés de mars à juin 2020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Compétences non évaluées au vu du contexte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Classe de CM2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Année scolaire 2019.2020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Mathématiques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Nombres et calculs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nombres décimaux</w:t>
      </w:r>
      <w:r>
        <w:rPr/>
        <w:t> : comparer des nombres décimaux, encadrer, intercaler des nombres décimaux avec des entiers, d’autres nombres décimaux ranger des nombres décimaux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La multiplication des nombres entiers </w:t>
      </w:r>
      <w:r>
        <w:rPr/>
        <w:t>: maîtriser la technique opération de la multiplication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La division de nombres entiers </w:t>
      </w:r>
      <w:r>
        <w:rPr/>
        <w:t>: maîtriser la technique opération de la division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L’addition des nombres décimaux</w:t>
      </w:r>
      <w:r>
        <w:rPr/>
        <w:t> : poser et effectuer une addition avec des nombres décimaux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La soustraction des nombres décimaux</w:t>
      </w:r>
      <w:r>
        <w:rPr/>
        <w:t> : poser et effectuer une soustraction avec des nombres décimaux</w:t>
      </w:r>
    </w:p>
    <w:p>
      <w:pPr>
        <w:pStyle w:val="ListParagraph"/>
        <w:rPr/>
      </w:pPr>
      <w:r>
        <w:rPr/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Grandeurs et mesures :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Les contenances et les volumes</w:t>
      </w:r>
      <w:r>
        <w:rPr>
          <w:rFonts w:cs="Calibri" w:cstheme="minorHAnsi"/>
        </w:rPr>
        <w:t> : connaître et utiliser les unités de contenances, comparer et ranger des mesures de contenances, calculer avec des mesures de contenances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Mesures et nombres décimaux</w:t>
      </w:r>
      <w:r>
        <w:rPr>
          <w:rFonts w:cs="Calibri" w:cstheme="minorHAnsi"/>
        </w:rPr>
        <w:t> : convertir des mesures en utilisant des nombres décimaux, convertir et comparer des mesures en utilisant des nombres décimaux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Les mesures d’aires</w:t>
      </w:r>
      <w:r>
        <w:rPr>
          <w:rFonts w:cs="Calibri" w:cstheme="minorHAnsi"/>
        </w:rPr>
        <w:t> : mesurer l’aire d’une surface, connaître et utiliser l’unité centimètre carré du système métrique pour les aires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L’aire du carré et du rectangle</w:t>
      </w:r>
      <w:r>
        <w:rPr>
          <w:rFonts w:cs="Calibri" w:cstheme="minorHAnsi"/>
        </w:rPr>
        <w:t> : connaître et utiliser les formules d’aire du carré et du rectangle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Espace et géométrie :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Les quadrilatères</w:t>
      </w:r>
      <w:r>
        <w:rPr>
          <w:rFonts w:cs="Calibri" w:cstheme="minorHAnsi"/>
        </w:rPr>
        <w:t> : identifier les différents quadrilatères, connaître les propriétés de chacun, tracer un carré, un rectangle, un losange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Le cercle</w:t>
      </w:r>
      <w:r>
        <w:rPr>
          <w:rFonts w:cs="Calibri" w:cstheme="minorHAnsi"/>
        </w:rPr>
        <w:t> : connaître les propriétés du cercle, tracer des cercles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L’axe de symétrie</w:t>
      </w:r>
      <w:r>
        <w:rPr>
          <w:rFonts w:cs="Calibri" w:cstheme="minorHAnsi"/>
        </w:rPr>
        <w:t> : identifier et tracer des axes de symétrie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La symétrie axiale</w:t>
      </w:r>
      <w:r>
        <w:rPr>
          <w:rFonts w:cs="Calibri" w:cstheme="minorHAnsi"/>
        </w:rPr>
        <w:t> : compléter une figure par symétrie axiale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Les solides</w:t>
      </w:r>
      <w:r>
        <w:rPr>
          <w:rFonts w:cs="Calibri" w:cstheme="minorHAnsi"/>
        </w:rPr>
        <w:t> : reconnaître, décrire et nommer des solides, identifier des solides droits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Résolution de problèmes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problèmes à étapes</w:t>
      </w:r>
      <w:r>
        <w:rPr/>
        <w:t> : résoudre des problèmes à l’aide de différentes étapes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tableaux</w:t>
      </w:r>
      <w:r>
        <w:rPr/>
        <w:t> : comprendre, lire et construire des tableaux en vue de répondre à des situations problèmes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graphiques</w:t>
      </w:r>
      <w:r>
        <w:rPr/>
        <w:t> : comprendre, lire et construire des graphiques en vue de répondre à des situations problèmes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Français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Grammaire :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Les compléments de phrase</w:t>
      </w:r>
      <w:r>
        <w:rPr>
          <w:rFonts w:cs="Calibri" w:cstheme="minorHAnsi"/>
        </w:rPr>
        <w:t> : identifier et nommer des compléments de phrase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Le passé simple</w:t>
      </w:r>
      <w:r>
        <w:rPr>
          <w:rFonts w:cs="Calibri" w:cstheme="minorHAnsi"/>
        </w:rPr>
        <w:t> : identifier et conjuguer des verbes (1</w:t>
      </w:r>
      <w:r>
        <w:rPr>
          <w:rFonts w:cs="Calibri" w:cstheme="minorHAnsi"/>
          <w:vertAlign w:val="superscript"/>
        </w:rPr>
        <w:t>er</w:t>
      </w:r>
      <w:r>
        <w:rPr>
          <w:rFonts w:cs="Calibri" w:cstheme="minorHAnsi"/>
        </w:rPr>
        <w:t>, 2</w:t>
      </w:r>
      <w:r>
        <w:rPr>
          <w:rFonts w:cs="Calibri" w:cstheme="minorHAnsi"/>
          <w:vertAlign w:val="superscript"/>
        </w:rPr>
        <w:t>ème</w:t>
      </w:r>
      <w:r>
        <w:rPr>
          <w:rFonts w:cs="Calibri" w:cstheme="minorHAnsi"/>
        </w:rPr>
        <w:t xml:space="preserve"> groupes + verbes courants) aux 3</w:t>
      </w:r>
      <w:r>
        <w:rPr>
          <w:rFonts w:cs="Calibri" w:cstheme="minorHAnsi"/>
          <w:vertAlign w:val="superscript"/>
        </w:rPr>
        <w:t>ème</w:t>
      </w:r>
      <w:r>
        <w:rPr>
          <w:rFonts w:cs="Calibri" w:cstheme="minorHAnsi"/>
        </w:rPr>
        <w:t xml:space="preserve"> personnes du singulier et du pluriel au passé simple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L’attribut du sujet</w:t>
      </w:r>
      <w:r>
        <w:rPr>
          <w:rFonts w:cs="Calibri" w:cstheme="minorHAnsi"/>
        </w:rPr>
        <w:t> : identifier et utiliser correctement l’attribut du sujet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  <w:b/>
          <w:i/>
        </w:rPr>
        <w:t>La nature et la fonction des mots</w:t>
      </w:r>
      <w:r>
        <w:rPr>
          <w:rFonts w:cs="Calibri" w:cstheme="minorHAnsi"/>
        </w:rPr>
        <w:t> : identifier la classe des mots et leur rôle dans la phrase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 présent de l’impératif</w:t>
      </w:r>
      <w:r>
        <w:rPr/>
        <w:t> : identifier et conjuguer les verbes des 3 groupes au présent de l’impératif, connaître les particularités de certains verbes (avoir, être, aller…)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Lexique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 xml:space="preserve">Eviter les répétitions : </w:t>
      </w:r>
      <w:r>
        <w:rPr/>
        <w:t>identifier et utiliser des substituts du nom (pronoms, groupes nominaux, synonymes) pour éviter les répétitions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Adapter son discours à un interlocuteur :</w:t>
      </w:r>
      <w:r>
        <w:rPr/>
        <w:t xml:space="preserve"> connaître les différentes situations de communication et les différents niveaux de langage, utiliser un langage adapté à son interlocuteur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 sens propre, le sens figuré :</w:t>
      </w:r>
      <w:r>
        <w:rPr/>
        <w:t xml:space="preserve"> identifier des expressions au sens propre/au sens figuré, trouver la définition d’une proposition au sens figuré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Orthographe :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 féminin des adjectifs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lettres finales muettes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mots terminés par –ail, -eil, -euil, -ouil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Ecrire « ce » ou « se »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accents é/è/ê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accents : accentuer ou non la lettre « e »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Ecrire « é » ou « er »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L’accord du participe passé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noms féminins en –tion et –ssion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L’accord du verbe, cas particuliers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Anglais 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émotions, les sentiments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pièces de la maison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L’auxiliaire être au présent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pronoms personnels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prépositions</w:t>
      </w:r>
    </w:p>
    <w:p>
      <w:pPr>
        <w:pStyle w:val="ListParagrap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bookmarkStart w:id="0" w:name="_GoBack"/>
      <w:bookmarkEnd w:id="0"/>
      <w:r>
        <w:rPr>
          <w:b/>
          <w:sz w:val="24"/>
        </w:rPr>
        <w:t>Sciences :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déchets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La diversité de la matière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Histoire 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 quotidien des poilus</w:t>
      </w:r>
    </w:p>
    <w:p>
      <w:pPr>
        <w:pStyle w:val="ListParagrap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Enseignement Moral et Civique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Apprendre à porter secours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u w:val="single"/>
        </w:rPr>
        <w:t xml:space="preserve">Notions non travaillées cette année mais prévues initialement dans la programmation : 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FRANÇAIS :</w:t>
      </w:r>
    </w:p>
    <w:p>
      <w:pPr>
        <w:pStyle w:val="Normal"/>
        <w:rPr>
          <w:u w:val="none"/>
        </w:rPr>
      </w:pPr>
      <w:r>
        <w:rPr>
          <w:u w:val="none"/>
        </w:rPr>
        <w:t>Le programme a été bouclé.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 :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Nombres et calculs :</w:t>
      </w:r>
    </w:p>
    <w:p>
      <w:pPr>
        <w:pStyle w:val="Normal"/>
        <w:rPr>
          <w:u w:val="none"/>
        </w:rPr>
      </w:pPr>
      <w:r>
        <w:rPr>
          <w:u w:val="none"/>
        </w:rPr>
        <w:t>- les situations de proportionnalité</w:t>
      </w:r>
    </w:p>
    <w:p>
      <w:pPr>
        <w:pStyle w:val="Normal"/>
        <w:rPr>
          <w:u w:val="none"/>
        </w:rPr>
      </w:pPr>
      <w:r>
        <w:rPr>
          <w:u w:val="none"/>
        </w:rPr>
        <w:t>- les pourcentages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Grandeurs et mesures :</w:t>
      </w:r>
    </w:p>
    <w:p>
      <w:pPr>
        <w:pStyle w:val="Normal"/>
        <w:rPr>
          <w:u w:val="none"/>
        </w:rPr>
      </w:pPr>
      <w:r>
        <w:rPr>
          <w:u w:val="none"/>
        </w:rPr>
        <w:t>- les mesures d’angles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Espace et géométrie :</w:t>
      </w:r>
    </w:p>
    <w:p>
      <w:pPr>
        <w:pStyle w:val="Normal"/>
        <w:rPr>
          <w:u w:val="none"/>
        </w:rPr>
      </w:pPr>
      <w:r>
        <w:rPr>
          <w:u w:val="none"/>
        </w:rPr>
        <w:t>- les programmes de construction</w:t>
      </w:r>
    </w:p>
    <w:p>
      <w:pPr>
        <w:pStyle w:val="Normal"/>
        <w:spacing w:before="0" w:after="200"/>
        <w:rPr>
          <w:u w:val="none"/>
        </w:rPr>
      </w:pPr>
      <w:r>
        <w:rPr>
          <w:u w:val="none"/>
        </w:rPr>
        <w:t xml:space="preserve">Nous avons réalisé des programmes de construction tout au long de l’année sans consacrer un chapitre spécifique à cette notion.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3c2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LibreOffice/5.4.1.2$Windows_x86 LibreOffice_project/ea7cb86e6eeb2bf3a5af73a8f7777ac570321527</Application>
  <Pages>3</Pages>
  <Words>700</Words>
  <Characters>3546</Characters>
  <CharactersWithSpaces>4136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2020-06-06T08:15:00Z</dcterms:created>
  <dc:creator>CHLOE</dc:creator>
  <dc:description/>
  <dc:language>fr-FR</dc:language>
  <cp:lastModifiedBy/>
  <dcterms:modified xsi:type="dcterms:W3CDTF">2020-06-06T16:58:19Z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