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Éléments du programme travaillés de mars à juin 2020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Compétences non évaluées au vu du contexte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Classe de CM1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Année scolaire 2019.2020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Mathématiques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Nombres et calculs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nombres décimaux</w:t>
      </w:r>
      <w:r>
        <w:rPr/>
        <w:t> : comparer des nombres décimaux, encadrer, intercaler des nombres décimaux avec des entiers, ranger des nombres décimaux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Partage et division</w:t>
      </w:r>
      <w:r>
        <w:rPr/>
        <w:t> : mobiliser les résultats des tables de multiplication pour résoudre une situation de partage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L’addition des nombres décimaux</w:t>
      </w:r>
      <w:r>
        <w:rPr/>
        <w:t> : poser et effectuer une addition avec des nombres décimaux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 xml:space="preserve">Division par un nombre à 1 chiffre </w:t>
      </w:r>
      <w:r>
        <w:rPr>
          <w:b/>
          <w:i/>
        </w:rPr>
        <w:t>puis à 2 chiffres</w:t>
      </w:r>
      <w:r>
        <w:rPr/>
        <w:t> : poser et résoudre une division euclidienne de deux entiers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La soustraction des nombres décimaux</w:t>
      </w:r>
      <w:r>
        <w:rPr/>
        <w:t xml:space="preserve"> : poser et effectuer une soustraction avec des nombres décimaux 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Grandeurs et mesures 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mesures de masses</w:t>
      </w:r>
      <w:r>
        <w:rPr/>
        <w:t> : connaître et utiliser les unités du système métrique pour les masses ainsi que leurs relations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mesures de contenances</w:t>
      </w:r>
      <w:r>
        <w:rPr/>
        <w:t> : connaître et utiliser les unités du système métrique pour les contenances ainsi que leurs relations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mesures d’angles</w:t>
      </w:r>
      <w:r>
        <w:rPr/>
        <w:t> : comparer les angles d’une figure en utilisant un gabarit ; estimer et vérifier, en utilisant l’équerre, qu’un angle est droit, aigu ou obtus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Espace et géométrie 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quadrilatères</w:t>
      </w:r>
      <w:r>
        <w:rPr/>
        <w:t> : connaître les propriétés du losange, du carré et du rectangle ; être capable d’identifier un quadrilatère ; tracer des quadrilatères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triangles</w:t>
      </w:r>
      <w:r>
        <w:rPr/>
        <w:t> : connaître les triangles existants et leurs propriétés, tracer des triangles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 cercle</w:t>
      </w:r>
      <w:r>
        <w:rPr/>
        <w:t xml:space="preserve"> : connaître les propriétés du cercle, tracer des cercles 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Résolution de problèmes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problèmes à étapes</w:t>
      </w:r>
      <w:r>
        <w:rPr/>
        <w:t> : résoudre des problèmes à l’aide de différentes étapes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tableaux</w:t>
      </w:r>
      <w:r>
        <w:rPr/>
        <w:t> : comprendre, lire et construire des tableaux en vue de répondre à des situations problèmes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graphiques</w:t>
      </w:r>
      <w:r>
        <w:rPr/>
        <w:t> : comprendre, lire et construire des graphiques en vue de répondre à des situations problèmes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Français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Grammaire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déterminants</w:t>
      </w:r>
      <w:r>
        <w:rPr/>
        <w:t> : identifier et utiliser les différents articles, déterminants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 passé simple</w:t>
      </w:r>
      <w:r>
        <w:rPr/>
        <w:t> : conjuguer des verbes au passé simple aux 3</w:t>
      </w:r>
      <w:r>
        <w:rPr>
          <w:vertAlign w:val="superscript"/>
        </w:rPr>
        <w:t>ème</w:t>
      </w:r>
      <w:r>
        <w:rPr/>
        <w:t xml:space="preserve"> personnes du singulier et du pluriel (verbes du 1</w:t>
      </w:r>
      <w:r>
        <w:rPr>
          <w:vertAlign w:val="superscript"/>
        </w:rPr>
        <w:t>er</w:t>
      </w:r>
      <w:r>
        <w:rPr/>
        <w:t xml:space="preserve"> et 2</w:t>
      </w:r>
      <w:r>
        <w:rPr>
          <w:vertAlign w:val="superscript"/>
        </w:rPr>
        <w:t>ème</w:t>
      </w:r>
      <w:r>
        <w:rPr/>
        <w:t xml:space="preserve"> groupes + verbes courants)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L’adjectif qualificatif</w:t>
      </w:r>
      <w:r>
        <w:rPr/>
        <w:t xml:space="preserve"> : identifier des adjectifs qualificatifs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fonctions de l’adjectif qualificatif</w:t>
      </w:r>
      <w:r>
        <w:rPr/>
        <w:t> : être capable de dire si un adjectif est attribut du sujet ou épithète du nom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compléments circonstanciels</w:t>
      </w:r>
      <w:r>
        <w:rPr/>
        <w:t> : comprendre la notion de « circonstance », reconnaître les compléments circonstanciels de lieu, de temps, de manière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 présent de l’impératif</w:t>
      </w:r>
      <w:r>
        <w:rPr/>
        <w:t> : identifier et conjuguer les verbes des 3 groupes au présent de l’impératif, connaître les particularités de certains verbes (avoir, être, aller…)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Lexique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homonymes</w:t>
      </w:r>
      <w:r>
        <w:rPr/>
        <w:t> : identifier et trouver des homonymes, utiliser le contexte pour choisir le bon homonyme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Les niveaux de langue</w:t>
      </w:r>
      <w:r>
        <w:rPr/>
        <w:t> : identifier et utiliser le langage courant, soutenu et familier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i/>
        </w:rPr>
        <w:t>Le sens propre et le sens figuré</w:t>
      </w:r>
      <w:bookmarkStart w:id="0" w:name="_GoBack"/>
      <w:bookmarkEnd w:id="0"/>
      <w:r>
        <w:rPr/>
        <w:t xml:space="preserve"> : identifier des expressions au sens propre/au sens figuré, trouver la définition d’une proposition au sens figuré </w:t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>Orthographe :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 féminin des adjectifs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lettres finales muettes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mots terminés par –ail, -eil, -euil, -ouil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Ecrire « ce » ou « se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accents é/è/ê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accents : accentuer ou non la lettre « e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Ecrire « é » ou « er »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L’accord du participe passé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noms féminins en –tion et –ssion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L’accord du verbe, cas particuliers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Anglais 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émotions, les sentiments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pièces de la maison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L’auxiliaire être au présent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pronoms personnels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prépositions</w:t>
      </w:r>
    </w:p>
    <w:p>
      <w:pPr>
        <w:pStyle w:val="ListParagrap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Sciences :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Les déchets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La diversité de la matière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Histoire 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Le quotidien des poilus</w:t>
      </w:r>
    </w:p>
    <w:p>
      <w:pPr>
        <w:pStyle w:val="ListParagrap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5B3D7" w:themeFill="accent1" w:themeFillTint="99"/>
        <w:rPr>
          <w:b/>
          <w:b/>
          <w:sz w:val="24"/>
        </w:rPr>
      </w:pPr>
      <w:r>
        <w:rPr>
          <w:b/>
          <w:sz w:val="24"/>
        </w:rPr>
        <w:t>Enseignement Moral et Civique</w:t>
      </w:r>
    </w:p>
    <w:p>
      <w:pPr>
        <w:pStyle w:val="ListParagraph"/>
        <w:numPr>
          <w:ilvl w:val="0"/>
          <w:numId w:val="1"/>
        </w:numPr>
        <w:rPr>
          <w:b/>
          <w:b/>
          <w:i/>
          <w:i/>
        </w:rPr>
      </w:pPr>
      <w:r>
        <w:rPr>
          <w:b/>
          <w:i/>
        </w:rPr>
        <w:t>Apprendre à porter secours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u w:val="single"/>
        </w:rPr>
        <w:t xml:space="preserve">Notions non travaillées cette année mais prévues initialement dans la programmation : </w:t>
      </w:r>
    </w:p>
    <w:p>
      <w:pPr>
        <w:pStyle w:val="Normal"/>
        <w:rPr>
          <w:b w:val="false"/>
          <w:b w:val="false"/>
          <w:bCs w:val="false"/>
          <w:i/>
          <w:i/>
          <w:iCs/>
          <w:sz w:val="22"/>
          <w:szCs w:val="22"/>
          <w:u w:val="none"/>
        </w:rPr>
      </w:pPr>
      <w:r>
        <w:rPr>
          <w:b/>
          <w:bCs/>
          <w:sz w:val="24"/>
          <w:szCs w:val="24"/>
          <w:u w:val="single"/>
        </w:rPr>
        <w:t>MATHÉMATIQUES :</w:t>
      </w:r>
    </w:p>
    <w:p>
      <w:pPr>
        <w:pStyle w:val="Normal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Grandeurs et mesures :</w:t>
      </w:r>
    </w:p>
    <w:p>
      <w:pPr>
        <w:pStyle w:val="Normal"/>
        <w:rPr>
          <w:u w:val="none"/>
        </w:rPr>
      </w:pPr>
      <w:r>
        <w:rPr>
          <w:u w:val="none"/>
        </w:rPr>
        <w:t>- les mesures d’aires</w:t>
      </w:r>
    </w:p>
    <w:p>
      <w:pPr>
        <w:pStyle w:val="Normal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Espace et géométrie :</w:t>
      </w:r>
    </w:p>
    <w:p>
      <w:pPr>
        <w:pStyle w:val="Normal"/>
        <w:rPr>
          <w:u w:val="none"/>
        </w:rPr>
      </w:pPr>
      <w:r>
        <w:rPr>
          <w:u w:val="none"/>
        </w:rPr>
        <w:t>- les axes de symétrie</w:t>
      </w:r>
    </w:p>
    <w:p>
      <w:pPr>
        <w:pStyle w:val="Normal"/>
        <w:rPr>
          <w:u w:val="none"/>
        </w:rPr>
      </w:pPr>
      <w:r>
        <w:rPr>
          <w:u w:val="none"/>
        </w:rPr>
        <w:t>- les solides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FRANÇAIS :</w:t>
      </w:r>
    </w:p>
    <w:p>
      <w:pPr>
        <w:pStyle w:val="Normal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Grammaire :</w:t>
      </w:r>
    </w:p>
    <w:p>
      <w:pPr>
        <w:pStyle w:val="Normal"/>
        <w:rPr>
          <w:u w:val="none"/>
        </w:rPr>
      </w:pPr>
      <w:r>
        <w:rPr>
          <w:u w:val="none"/>
        </w:rPr>
        <w:t>- L’attribut du sujet</w:t>
      </w:r>
    </w:p>
    <w:p>
      <w:pPr>
        <w:pStyle w:val="Normal"/>
        <w:spacing w:before="0" w:after="200"/>
        <w:rPr/>
      </w:pPr>
      <w:r>
        <w:rPr>
          <w:u w:val="none"/>
        </w:rPr>
        <w:t>- Le complément du nom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3c2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LibreOffice/5.4.1.2$Windows_x86 LibreOffice_project/ea7cb86e6eeb2bf3a5af73a8f7777ac570321527</Application>
  <Pages>3</Pages>
  <Words>651</Words>
  <Characters>3232</Characters>
  <CharactersWithSpaces>3780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2020-06-06T07:31:00Z</dcterms:created>
  <dc:creator>CHLOE</dc:creator>
  <dc:description/>
  <dc:language>fr-FR</dc:language>
  <cp:lastModifiedBy/>
  <cp:lastPrinted>2020-06-19T11:43:24Z</cp:lastPrinted>
  <dcterms:modified xsi:type="dcterms:W3CDTF">2020-06-19T11:52:08Z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